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A0" w:rsidRPr="00CB4ACD" w:rsidRDefault="00AA4AA0" w:rsidP="004540AA">
      <w:pPr>
        <w:spacing w:afterLines="100" w:line="560" w:lineRule="exact"/>
        <w:jc w:val="center"/>
        <w:rPr>
          <w:rFonts w:eastAsia="標楷體" w:hAnsi="標楷體" w:cs="Times New Roman"/>
          <w:sz w:val="40"/>
          <w:szCs w:val="40"/>
        </w:rPr>
      </w:pPr>
      <w:r w:rsidRPr="00CB4ACD">
        <w:rPr>
          <w:rFonts w:eastAsia="標楷體" w:hAnsi="標楷體" w:cs="標楷體" w:hint="eastAsia"/>
          <w:sz w:val="40"/>
          <w:szCs w:val="40"/>
        </w:rPr>
        <w:t>公務人員退休法施行細則部分條文修正條文</w:t>
      </w:r>
    </w:p>
    <w:tbl>
      <w:tblPr>
        <w:tblW w:w="9496" w:type="dxa"/>
        <w:tblInd w:w="-106" w:type="dxa"/>
        <w:tblLook w:val="00A0"/>
      </w:tblPr>
      <w:tblGrid>
        <w:gridCol w:w="1843"/>
        <w:gridCol w:w="7653"/>
      </w:tblGrid>
      <w:tr w:rsidR="00AA4AA0" w:rsidRPr="00CB4ACD">
        <w:tc>
          <w:tcPr>
            <w:tcW w:w="1843" w:type="dxa"/>
          </w:tcPr>
          <w:p w:rsidR="00AA4AA0" w:rsidRPr="00CB4ACD" w:rsidRDefault="00AA4AA0" w:rsidP="00AA4AA0">
            <w:pPr>
              <w:pStyle w:val="a0"/>
              <w:spacing w:line="560" w:lineRule="exact"/>
              <w:ind w:left="31680" w:firstLine="31680"/>
              <w:jc w:val="distribute"/>
              <w:rPr>
                <w:rFonts w:cs="Times New Roman"/>
                <w:sz w:val="32"/>
                <w:szCs w:val="32"/>
              </w:rPr>
            </w:pPr>
            <w:r w:rsidRPr="00CB4ACD">
              <w:rPr>
                <w:rFonts w:cs="標楷體" w:hint="eastAsia"/>
                <w:sz w:val="32"/>
                <w:szCs w:val="32"/>
              </w:rPr>
              <w:t>第七條</w:t>
            </w:r>
          </w:p>
        </w:tc>
        <w:tc>
          <w:tcPr>
            <w:tcW w:w="7653" w:type="dxa"/>
          </w:tcPr>
          <w:p w:rsidR="00AA4AA0" w:rsidRPr="00CB4ACD" w:rsidRDefault="00AA4AA0" w:rsidP="00AA4AA0">
            <w:pPr>
              <w:pStyle w:val="a0"/>
              <w:spacing w:line="560" w:lineRule="exact"/>
              <w:ind w:left="0" w:firstLineChars="200" w:firstLine="31680"/>
              <w:rPr>
                <w:rFonts w:cs="Times New Roman"/>
                <w:sz w:val="32"/>
                <w:szCs w:val="32"/>
              </w:rPr>
            </w:pPr>
            <w:r w:rsidRPr="00CB4ACD">
              <w:rPr>
                <w:rFonts w:cs="標楷體"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AA4AA0" w:rsidRPr="00CB4ACD" w:rsidRDefault="00AA4AA0" w:rsidP="00AA4AA0">
            <w:pPr>
              <w:pStyle w:val="a1"/>
              <w:spacing w:line="560" w:lineRule="exact"/>
              <w:ind w:leftChars="14" w:left="31680" w:firstLine="31680"/>
              <w:rPr>
                <w:rFonts w:cs="Times New Roman"/>
                <w:sz w:val="32"/>
                <w:szCs w:val="32"/>
              </w:rPr>
            </w:pPr>
            <w:r w:rsidRPr="00CB4ACD">
              <w:rPr>
                <w:rFonts w:cs="標楷體"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AA4AA0" w:rsidRPr="00CB4ACD">
        <w:tc>
          <w:tcPr>
            <w:tcW w:w="1843" w:type="dxa"/>
          </w:tcPr>
          <w:p w:rsidR="00AA4AA0" w:rsidRPr="00CB4ACD" w:rsidRDefault="00AA4AA0" w:rsidP="00AA4AA0">
            <w:pPr>
              <w:pStyle w:val="a0"/>
              <w:spacing w:line="560" w:lineRule="exact"/>
              <w:ind w:left="31680" w:firstLine="31680"/>
              <w:jc w:val="distribute"/>
              <w:rPr>
                <w:rFonts w:cs="Times New Roman"/>
                <w:sz w:val="32"/>
                <w:szCs w:val="32"/>
              </w:rPr>
            </w:pPr>
            <w:r w:rsidRPr="00CB4ACD">
              <w:rPr>
                <w:rFonts w:cs="標楷體" w:hint="eastAsia"/>
                <w:sz w:val="32"/>
                <w:szCs w:val="32"/>
              </w:rPr>
              <w:t>第十八條</w:t>
            </w:r>
          </w:p>
        </w:tc>
        <w:tc>
          <w:tcPr>
            <w:tcW w:w="7653" w:type="dxa"/>
          </w:tcPr>
          <w:p w:rsidR="00AA4AA0" w:rsidRPr="00CB4ACD" w:rsidRDefault="00AA4AA0" w:rsidP="00AA4AA0">
            <w:pPr>
              <w:pStyle w:val="a0"/>
              <w:spacing w:line="560" w:lineRule="exact"/>
              <w:ind w:left="0" w:firstLineChars="200" w:firstLine="31680"/>
              <w:rPr>
                <w:rFonts w:cs="Times New Roman"/>
                <w:sz w:val="32"/>
                <w:szCs w:val="32"/>
              </w:rPr>
            </w:pPr>
            <w:r w:rsidRPr="00CB4ACD">
              <w:rPr>
                <w:rFonts w:cs="標楷體" w:hint="eastAsia"/>
                <w:sz w:val="32"/>
                <w:szCs w:val="32"/>
              </w:rPr>
              <w:t>公務人員執行職務發生危險致身心障礙者，依本法第十三條第二項規定加發退休金之標準如下：</w:t>
            </w:r>
          </w:p>
          <w:p w:rsidR="00AA4AA0" w:rsidRPr="00CB4ACD" w:rsidRDefault="00AA4AA0" w:rsidP="00AA4AA0">
            <w:pPr>
              <w:pStyle w:val="a2"/>
              <w:tabs>
                <w:tab w:val="left" w:pos="316"/>
              </w:tabs>
              <w:spacing w:line="560" w:lineRule="exact"/>
              <w:ind w:leftChars="266" w:left="31680" w:firstLine="31680"/>
              <w:rPr>
                <w:rFonts w:cs="Times New Roman"/>
                <w:sz w:val="32"/>
                <w:szCs w:val="32"/>
                <w:u w:val="none"/>
              </w:rPr>
            </w:pPr>
            <w:r w:rsidRPr="00CB4ACD">
              <w:rPr>
                <w:rFonts w:hint="eastAsia"/>
                <w:sz w:val="32"/>
                <w:szCs w:val="32"/>
                <w:u w:val="none"/>
              </w:rPr>
              <w:t>一、全失能致全身癱瘓或致日常生活無法自理者：加發十五個基數之一次退休金。</w:t>
            </w:r>
          </w:p>
          <w:p w:rsidR="00AA4AA0" w:rsidRPr="00CB4ACD" w:rsidRDefault="00AA4AA0" w:rsidP="00AA4AA0">
            <w:pPr>
              <w:pStyle w:val="a2"/>
              <w:spacing w:line="560" w:lineRule="exact"/>
              <w:ind w:leftChars="266" w:left="31680" w:firstLine="31680"/>
              <w:rPr>
                <w:rFonts w:cs="Times New Roman"/>
                <w:sz w:val="32"/>
                <w:szCs w:val="32"/>
                <w:u w:val="none"/>
              </w:rPr>
            </w:pPr>
            <w:r w:rsidRPr="00CB4ACD">
              <w:rPr>
                <w:rFonts w:hint="eastAsia"/>
                <w:sz w:val="32"/>
                <w:szCs w:val="32"/>
                <w:u w:val="none"/>
              </w:rPr>
              <w:t>二、全失能且日常生活尚能自理者：加發十個基數之一次退休金。</w:t>
            </w:r>
          </w:p>
          <w:p w:rsidR="00AA4AA0" w:rsidRPr="00CB4ACD" w:rsidRDefault="00AA4AA0" w:rsidP="00AA4AA0">
            <w:pPr>
              <w:pStyle w:val="a2"/>
              <w:spacing w:line="560" w:lineRule="exact"/>
              <w:ind w:leftChars="266" w:left="31680" w:firstLine="31680"/>
              <w:rPr>
                <w:rFonts w:cs="Times New Roman"/>
                <w:sz w:val="32"/>
                <w:szCs w:val="32"/>
                <w:u w:val="none"/>
              </w:rPr>
            </w:pPr>
            <w:r w:rsidRPr="00CB4ACD">
              <w:rPr>
                <w:rFonts w:hint="eastAsia"/>
                <w:sz w:val="32"/>
                <w:szCs w:val="32"/>
                <w:u w:val="none"/>
              </w:rPr>
              <w:t>三、半失能者：加發五個基數之一次退休金。</w:t>
            </w:r>
          </w:p>
          <w:p w:rsidR="00AA4AA0" w:rsidRPr="00CB4ACD" w:rsidRDefault="00AA4AA0" w:rsidP="00AA4AA0">
            <w:pPr>
              <w:pStyle w:val="a1"/>
              <w:spacing w:line="560" w:lineRule="exact"/>
              <w:ind w:left="31680" w:firstLine="31680"/>
              <w:rPr>
                <w:rFonts w:cs="Times New Roman"/>
                <w:sz w:val="32"/>
                <w:szCs w:val="32"/>
              </w:rPr>
            </w:pPr>
            <w:r w:rsidRPr="00CB4ACD">
              <w:rPr>
                <w:rFonts w:cs="標楷體" w:hint="eastAsia"/>
                <w:sz w:val="32"/>
                <w:szCs w:val="32"/>
              </w:rPr>
              <w:t>前項失能等級之認定證明，由中央衛生主管機關評鑑合格醫院依公教人員保險失能給付標準附表出具之。</w:t>
            </w:r>
          </w:p>
        </w:tc>
      </w:tr>
      <w:tr w:rsidR="00AA4AA0" w:rsidRPr="00CB4ACD">
        <w:tc>
          <w:tcPr>
            <w:tcW w:w="1843" w:type="dxa"/>
          </w:tcPr>
          <w:p w:rsidR="00AA4AA0" w:rsidRPr="00CB4ACD" w:rsidRDefault="00AA4AA0" w:rsidP="00AA4AA0">
            <w:pPr>
              <w:pStyle w:val="a0"/>
              <w:spacing w:line="560" w:lineRule="exact"/>
              <w:ind w:left="31680" w:firstLine="31680"/>
              <w:jc w:val="distribute"/>
              <w:rPr>
                <w:rFonts w:cs="Times New Roman"/>
                <w:sz w:val="32"/>
                <w:szCs w:val="32"/>
              </w:rPr>
            </w:pPr>
            <w:r w:rsidRPr="00CB4ACD">
              <w:rPr>
                <w:rFonts w:cs="標楷體" w:hint="eastAsia"/>
                <w:sz w:val="32"/>
                <w:szCs w:val="32"/>
              </w:rPr>
              <w:t>第十九條</w:t>
            </w:r>
          </w:p>
        </w:tc>
        <w:tc>
          <w:tcPr>
            <w:tcW w:w="7653" w:type="dxa"/>
          </w:tcPr>
          <w:p w:rsidR="00AA4AA0" w:rsidRPr="00CB4ACD" w:rsidRDefault="00AA4AA0" w:rsidP="00AA4AA0">
            <w:pPr>
              <w:pStyle w:val="a0"/>
              <w:spacing w:line="560" w:lineRule="exact"/>
              <w:ind w:left="0" w:firstLineChars="100" w:firstLine="31680"/>
              <w:rPr>
                <w:rFonts w:cs="Times New Roman"/>
                <w:sz w:val="32"/>
                <w:szCs w:val="32"/>
              </w:rPr>
            </w:pPr>
            <w:r w:rsidRPr="00CB4ACD">
              <w:rPr>
                <w:rFonts w:cs="標楷體" w:hint="eastAsia"/>
                <w:sz w:val="32"/>
                <w:szCs w:val="32"/>
              </w:rPr>
              <w:t>公務人員依本法第十四條第二項規定繳付之公務人員退休撫卹基金（以下簡稱退撫基金），應由服務機關於每月發薪時扣收，並即彙繳公務人員退休撫卹基金管理委員會（以下簡稱基金管理會）。</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公務人員繳付退撫基金費用五年以上，於任職期間涉違法或失職行為而於權責機關依法追究其行政責任確定前離職者，其申請發還退撫基金費用應依下列規定辦理：</w:t>
            </w:r>
          </w:p>
          <w:p w:rsidR="00AA4AA0" w:rsidRPr="00CB4ACD" w:rsidRDefault="00AA4AA0" w:rsidP="00AA4AA0">
            <w:pPr>
              <w:pStyle w:val="a2"/>
              <w:spacing w:line="560" w:lineRule="exact"/>
              <w:ind w:leftChars="297" w:left="31680" w:hangingChars="196" w:firstLine="31680"/>
              <w:rPr>
                <w:rFonts w:cs="Times New Roman"/>
                <w:sz w:val="32"/>
                <w:szCs w:val="32"/>
                <w:u w:val="none"/>
              </w:rPr>
            </w:pPr>
            <w:r w:rsidRPr="00CB4ACD">
              <w:rPr>
                <w:rFonts w:hint="eastAsia"/>
                <w:sz w:val="32"/>
                <w:szCs w:val="32"/>
                <w:u w:val="none"/>
              </w:rPr>
              <w:t>一</w:t>
            </w:r>
            <w:r w:rsidRPr="00CB4ACD">
              <w:rPr>
                <w:rFonts w:ascii="新細明體" w:eastAsia="新細明體" w:cs="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AA4AA0" w:rsidRPr="00CB4ACD" w:rsidRDefault="00AA4AA0" w:rsidP="00AA4AA0">
            <w:pPr>
              <w:pStyle w:val="a2"/>
              <w:spacing w:line="560" w:lineRule="exact"/>
              <w:ind w:leftChars="297" w:left="31680" w:hangingChars="196" w:firstLine="31680"/>
              <w:rPr>
                <w:rFonts w:cs="Times New Roman"/>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AA4AA0" w:rsidRPr="00CB4ACD" w:rsidRDefault="00AA4AA0" w:rsidP="00AA4AA0">
            <w:pPr>
              <w:pStyle w:val="a1"/>
              <w:spacing w:line="560" w:lineRule="exact"/>
              <w:ind w:leftChars="0" w:left="0" w:firstLine="31680"/>
              <w:rPr>
                <w:rFonts w:cs="Times New Roman"/>
                <w:sz w:val="32"/>
                <w:szCs w:val="32"/>
              </w:rPr>
            </w:pPr>
            <w:r w:rsidRPr="00CB4ACD">
              <w:rPr>
                <w:rFonts w:ascii="標楷體" w:hAnsi="標楷體" w:cs="標楷體" w:hint="eastAsia"/>
                <w:sz w:val="32"/>
                <w:szCs w:val="32"/>
              </w:rPr>
              <w:t>公務人員撥繳退撫基金費用滿四十年者，如未選擇繼續繳納退撫基金費用，依本法第十五條第一項規定，不得採計為退休年資。</w:t>
            </w:r>
          </w:p>
        </w:tc>
      </w:tr>
      <w:tr w:rsidR="00AA4AA0" w:rsidRPr="00CB4ACD">
        <w:tc>
          <w:tcPr>
            <w:tcW w:w="1843" w:type="dxa"/>
          </w:tcPr>
          <w:p w:rsidR="00AA4AA0" w:rsidRPr="00CB4ACD" w:rsidRDefault="00AA4AA0" w:rsidP="00AA4AA0">
            <w:pPr>
              <w:pStyle w:val="a0"/>
              <w:spacing w:line="560" w:lineRule="exact"/>
              <w:ind w:left="31680" w:firstLine="31680"/>
              <w:jc w:val="distribute"/>
              <w:rPr>
                <w:rFonts w:cs="Times New Roman"/>
                <w:sz w:val="32"/>
                <w:szCs w:val="32"/>
              </w:rPr>
            </w:pPr>
            <w:r w:rsidRPr="00CB4ACD">
              <w:rPr>
                <w:rFonts w:cs="標楷體" w:hint="eastAsia"/>
                <w:sz w:val="32"/>
                <w:szCs w:val="32"/>
              </w:rPr>
              <w:t>第二十一條</w:t>
            </w:r>
          </w:p>
        </w:tc>
        <w:tc>
          <w:tcPr>
            <w:tcW w:w="7653" w:type="dxa"/>
          </w:tcPr>
          <w:p w:rsidR="00AA4AA0" w:rsidRPr="00CB4ACD" w:rsidRDefault="00AA4AA0" w:rsidP="00AA4AA0">
            <w:pPr>
              <w:pStyle w:val="a0"/>
              <w:spacing w:line="560" w:lineRule="exact"/>
              <w:ind w:left="0" w:firstLineChars="200" w:firstLine="31680"/>
              <w:rPr>
                <w:rFonts w:cs="Times New Roman"/>
                <w:sz w:val="32"/>
                <w:szCs w:val="32"/>
              </w:rPr>
            </w:pPr>
            <w:r w:rsidRPr="00CB4ACD">
              <w:rPr>
                <w:rFonts w:cs="標楷體" w:hint="eastAsia"/>
                <w:sz w:val="32"/>
                <w:szCs w:val="32"/>
              </w:rPr>
              <w:t>依本法第十五條第三項規定，在退撫新制實施後得予併計之其他公職年資及本法第三十一條第一項規定，在退撫新制實施前得予併計之年資如下：</w:t>
            </w:r>
          </w:p>
          <w:p w:rsidR="00AA4AA0" w:rsidRPr="00CB4ACD" w:rsidRDefault="00AA4AA0" w:rsidP="00AA4AA0">
            <w:pPr>
              <w:pStyle w:val="a2"/>
              <w:spacing w:line="560" w:lineRule="exact"/>
              <w:ind w:leftChars="270" w:left="31680" w:hangingChars="207" w:firstLine="31680"/>
              <w:rPr>
                <w:rFonts w:cs="Times New Roman"/>
                <w:sz w:val="32"/>
                <w:szCs w:val="32"/>
                <w:u w:val="none"/>
              </w:rPr>
            </w:pPr>
            <w:r w:rsidRPr="00CB4ACD">
              <w:rPr>
                <w:rFonts w:hint="eastAsia"/>
                <w:sz w:val="32"/>
                <w:szCs w:val="32"/>
                <w:u w:val="none"/>
              </w:rPr>
              <w:t>一、曾任編制內有給專任且符合第二條第一項規定之公務人員。</w:t>
            </w:r>
          </w:p>
          <w:p w:rsidR="00AA4AA0" w:rsidRPr="00CB4ACD" w:rsidRDefault="00AA4AA0" w:rsidP="00AA4AA0">
            <w:pPr>
              <w:pStyle w:val="a2"/>
              <w:spacing w:line="560" w:lineRule="exact"/>
              <w:ind w:leftChars="270" w:left="31680" w:hangingChars="207" w:firstLine="31680"/>
              <w:rPr>
                <w:rFonts w:cs="Times New Roman"/>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AA4AA0" w:rsidRPr="00CB4ACD" w:rsidRDefault="00AA4AA0" w:rsidP="00AA4AA0">
            <w:pPr>
              <w:pStyle w:val="a2"/>
              <w:spacing w:line="560" w:lineRule="exact"/>
              <w:ind w:leftChars="270" w:left="31680" w:hangingChars="207" w:firstLine="31680"/>
              <w:rPr>
                <w:rFonts w:cs="Times New Roman"/>
                <w:sz w:val="32"/>
                <w:szCs w:val="32"/>
                <w:u w:val="none"/>
              </w:rPr>
            </w:pPr>
            <w:r w:rsidRPr="00CB4ACD">
              <w:rPr>
                <w:rFonts w:hint="eastAsia"/>
                <w:sz w:val="32"/>
                <w:szCs w:val="32"/>
                <w:u w:val="none"/>
              </w:rPr>
              <w:t>三、曾任志願役軍職年資，經國防部或其他權責機關覈實出具證明者。</w:t>
            </w:r>
          </w:p>
          <w:p w:rsidR="00AA4AA0" w:rsidRPr="00CB4ACD" w:rsidRDefault="00AA4AA0" w:rsidP="00AA4AA0">
            <w:pPr>
              <w:pStyle w:val="a2"/>
              <w:spacing w:line="560" w:lineRule="exact"/>
              <w:ind w:leftChars="270" w:left="31680" w:hangingChars="207" w:firstLine="31680"/>
              <w:rPr>
                <w:rFonts w:cs="Times New Roman"/>
                <w:sz w:val="32"/>
                <w:szCs w:val="32"/>
                <w:u w:val="none"/>
              </w:rPr>
            </w:pPr>
            <w:r w:rsidRPr="00CB4ACD">
              <w:rPr>
                <w:rFonts w:hint="eastAsia"/>
                <w:sz w:val="32"/>
                <w:szCs w:val="32"/>
                <w:u w:val="none"/>
              </w:rPr>
              <w:t>四、曾任編制內雇員、同委任及委任或比照警佐待遇警察人員年資，經原服務機關覈實出具證明者。</w:t>
            </w:r>
          </w:p>
          <w:p w:rsidR="00AA4AA0" w:rsidRPr="00CB4ACD" w:rsidRDefault="00AA4AA0" w:rsidP="00AA4AA0">
            <w:pPr>
              <w:pStyle w:val="a0"/>
              <w:spacing w:line="560" w:lineRule="exact"/>
              <w:ind w:leftChars="270" w:left="31680" w:hangingChars="207" w:firstLine="31680"/>
              <w:rPr>
                <w:rFonts w:cs="Times New Roman"/>
                <w:sz w:val="32"/>
                <w:szCs w:val="32"/>
              </w:rPr>
            </w:pPr>
            <w:r w:rsidRPr="00CB4ACD">
              <w:rPr>
                <w:rFonts w:cs="標楷體" w:hint="eastAsia"/>
                <w:sz w:val="32"/>
                <w:szCs w:val="32"/>
              </w:rPr>
              <w:t>五、曾任公立學校編制內有給專任且符合教育人員任用條例規定之教職員，經原服務學校覈實出具證明者。</w:t>
            </w:r>
          </w:p>
          <w:p w:rsidR="00AA4AA0" w:rsidRPr="00CB4ACD" w:rsidRDefault="00AA4AA0" w:rsidP="00AA4AA0">
            <w:pPr>
              <w:pStyle w:val="a2"/>
              <w:spacing w:line="560" w:lineRule="exact"/>
              <w:ind w:leftChars="270" w:left="31680" w:hangingChars="207" w:firstLine="31680"/>
              <w:rPr>
                <w:rFonts w:cs="Times New Roman"/>
                <w:sz w:val="32"/>
                <w:szCs w:val="32"/>
                <w:u w:val="none"/>
              </w:rPr>
            </w:pPr>
            <w:r w:rsidRPr="00CB4ACD">
              <w:rPr>
                <w:rFonts w:hint="eastAsia"/>
                <w:sz w:val="32"/>
                <w:szCs w:val="32"/>
                <w:u w:val="none"/>
              </w:rPr>
              <w:t>六、曾任公營事業具公務員身分之編制內有給專任職員，經原服務機構覈實出具證明者。</w:t>
            </w:r>
          </w:p>
          <w:p w:rsidR="00AA4AA0" w:rsidRPr="00CB4ACD" w:rsidRDefault="00AA4AA0" w:rsidP="00AA4AA0">
            <w:pPr>
              <w:pStyle w:val="a2"/>
              <w:spacing w:line="560" w:lineRule="exact"/>
              <w:ind w:leftChars="270" w:left="31680" w:hangingChars="207" w:firstLine="31680"/>
              <w:rPr>
                <w:rFonts w:cs="Times New Roman"/>
                <w:sz w:val="32"/>
                <w:szCs w:val="32"/>
                <w:u w:val="none"/>
              </w:rPr>
            </w:pPr>
            <w:r w:rsidRPr="00CB4ACD">
              <w:rPr>
                <w:rFonts w:hint="eastAsia"/>
                <w:sz w:val="32"/>
                <w:szCs w:val="32"/>
                <w:u w:val="none"/>
              </w:rPr>
              <w:t>七、其他曾經銓敍部核定得以併計之年資。</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前項各款得予併計之年資，以未曾領取退休（職、伍）金、資遣給與、離職退費或年資結算給與等退離給與者為限。</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重行退休人員依本法第十七條第三項規定擇領或兼領月退休金時，應分別適用本法第十條至第十二條所定月退休金起支條件。</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AA4AA0" w:rsidRPr="00CB4ACD">
        <w:tc>
          <w:tcPr>
            <w:tcW w:w="1843" w:type="dxa"/>
          </w:tcPr>
          <w:p w:rsidR="00AA4AA0" w:rsidRPr="00CB4ACD" w:rsidRDefault="00AA4AA0" w:rsidP="00AA4AA0">
            <w:pPr>
              <w:pStyle w:val="a0"/>
              <w:spacing w:line="560" w:lineRule="exact"/>
              <w:ind w:left="31680" w:firstLine="31680"/>
              <w:jc w:val="distribute"/>
              <w:rPr>
                <w:rFonts w:cs="Times New Roman"/>
                <w:sz w:val="32"/>
                <w:szCs w:val="32"/>
              </w:rPr>
            </w:pPr>
            <w:r w:rsidRPr="00CB4ACD">
              <w:rPr>
                <w:rFonts w:cs="標楷體" w:hint="eastAsia"/>
                <w:sz w:val="32"/>
                <w:szCs w:val="32"/>
              </w:rPr>
              <w:t>第二十二條</w:t>
            </w:r>
          </w:p>
        </w:tc>
        <w:tc>
          <w:tcPr>
            <w:tcW w:w="7653" w:type="dxa"/>
          </w:tcPr>
          <w:p w:rsidR="00AA4AA0" w:rsidRPr="00CB4ACD" w:rsidRDefault="00AA4AA0" w:rsidP="00AA4AA0">
            <w:pPr>
              <w:pStyle w:val="a0"/>
              <w:spacing w:line="560" w:lineRule="exact"/>
              <w:ind w:left="0" w:firstLineChars="200" w:firstLine="31680"/>
              <w:rPr>
                <w:rFonts w:cs="Times New Roman"/>
                <w:sz w:val="32"/>
                <w:szCs w:val="32"/>
              </w:rPr>
            </w:pPr>
            <w:r w:rsidRPr="00CB4ACD">
              <w:rPr>
                <w:rFonts w:cs="標楷體" w:hint="eastAsia"/>
                <w:sz w:val="32"/>
                <w:szCs w:val="32"/>
              </w:rPr>
              <w:t>依本法第三十條第二項規定加發之一次補償金或月補償金及依同條第三項規定加發之一次補償金，均依附表二規定計算之。</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兼領一次退休金與月退休金人員，依前項規定加發之補償金標準，按其兼領比例計算之。</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曾支領政府編列預算支付退休（職</w:t>
            </w:r>
            <w:r w:rsidRPr="00CB4ACD">
              <w:rPr>
                <w:rFonts w:ascii="新細明體" w:eastAsia="新細明體" w:hAnsi="新細明體" w:cs="新細明體" w:hint="eastAsia"/>
                <w:sz w:val="32"/>
                <w:szCs w:val="32"/>
              </w:rPr>
              <w:t>、</w:t>
            </w:r>
            <w:r w:rsidRPr="00CB4ACD">
              <w:rPr>
                <w:rFonts w:cs="標楷體" w:hint="eastAsia"/>
                <w:sz w:val="32"/>
                <w:szCs w:val="32"/>
              </w:rPr>
              <w:t>伍）金</w:t>
            </w:r>
            <w:r w:rsidRPr="00CB4ACD">
              <w:rPr>
                <w:rFonts w:ascii="新細明體" w:eastAsia="新細明體" w:hAnsi="新細明體" w:cs="新細明體" w:hint="eastAsia"/>
                <w:sz w:val="32"/>
                <w:szCs w:val="32"/>
              </w:rPr>
              <w:t>、</w:t>
            </w:r>
            <w:r w:rsidRPr="00CB4ACD">
              <w:rPr>
                <w:rFonts w:cs="標楷體" w:hint="eastAsia"/>
                <w:sz w:val="32"/>
                <w:szCs w:val="32"/>
              </w:rPr>
              <w:t>資遣給與</w:t>
            </w:r>
            <w:r w:rsidRPr="00CB4ACD">
              <w:rPr>
                <w:rFonts w:ascii="新細明體" w:eastAsia="新細明體" w:hAnsi="新細明體" w:cs="新細明體" w:hint="eastAsia"/>
                <w:sz w:val="32"/>
                <w:szCs w:val="32"/>
              </w:rPr>
              <w:t>、</w:t>
            </w:r>
            <w:r w:rsidRPr="00CB4ACD">
              <w:rPr>
                <w:rFonts w:cs="標楷體" w:hint="eastAsia"/>
                <w:sz w:val="32"/>
                <w:szCs w:val="32"/>
              </w:rPr>
              <w:t>離（免）職退費或年資結算給與者，於重行退休時，其已領取給與之年資，應與重行退休審定之年資合併計算，依本法第三十條第二項及第三項規定，發給補償金</w:t>
            </w:r>
            <w:r w:rsidRPr="00CB4ACD">
              <w:rPr>
                <w:rFonts w:ascii="新細明體" w:eastAsia="新細明體" w:hAnsi="新細明體" w:cs="新細明體" w:hint="eastAsia"/>
                <w:sz w:val="32"/>
                <w:szCs w:val="32"/>
              </w:rPr>
              <w:t>。</w:t>
            </w:r>
          </w:p>
        </w:tc>
      </w:tr>
      <w:tr w:rsidR="00AA4AA0" w:rsidRPr="00CB4ACD">
        <w:tc>
          <w:tcPr>
            <w:tcW w:w="1843" w:type="dxa"/>
          </w:tcPr>
          <w:p w:rsidR="00AA4AA0" w:rsidRPr="00CB4ACD" w:rsidRDefault="00AA4AA0" w:rsidP="00AA4AA0">
            <w:pPr>
              <w:pStyle w:val="a0"/>
              <w:spacing w:line="560" w:lineRule="exact"/>
              <w:ind w:left="31680" w:firstLine="31680"/>
              <w:jc w:val="distribute"/>
              <w:rPr>
                <w:rFonts w:cs="Times New Roman"/>
                <w:sz w:val="32"/>
                <w:szCs w:val="32"/>
              </w:rPr>
            </w:pPr>
            <w:r w:rsidRPr="00CB4ACD">
              <w:rPr>
                <w:rFonts w:cs="標楷體" w:hint="eastAsia"/>
                <w:sz w:val="32"/>
                <w:szCs w:val="32"/>
              </w:rPr>
              <w:t>第二十七條</w:t>
            </w:r>
          </w:p>
        </w:tc>
        <w:tc>
          <w:tcPr>
            <w:tcW w:w="7653" w:type="dxa"/>
          </w:tcPr>
          <w:p w:rsidR="00AA4AA0" w:rsidRPr="00CB4ACD" w:rsidRDefault="00AA4AA0" w:rsidP="00AA4AA0">
            <w:pPr>
              <w:pStyle w:val="a0"/>
              <w:spacing w:line="560" w:lineRule="exact"/>
              <w:ind w:left="0" w:firstLineChars="200" w:firstLine="31680"/>
              <w:rPr>
                <w:rFonts w:cs="Times New Roman"/>
                <w:sz w:val="32"/>
                <w:szCs w:val="32"/>
              </w:rPr>
            </w:pPr>
            <w:r w:rsidRPr="00CB4ACD">
              <w:rPr>
                <w:rFonts w:cs="標楷體" w:hint="eastAsia"/>
                <w:sz w:val="32"/>
                <w:szCs w:val="32"/>
              </w:rPr>
              <w:t>服務機關對於擬依本法第七條第一項第二款至第四款辦理資遣者，應先經考績委員會初核、機關首長覆核後，再送請主管機關核定。</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cs="新細明體" w:hint="eastAsia"/>
                <w:sz w:val="32"/>
                <w:szCs w:val="32"/>
              </w:rPr>
              <w:t>，</w:t>
            </w:r>
            <w:r w:rsidRPr="00CB4ACD">
              <w:rPr>
                <w:rFonts w:cs="標楷體" w:hint="eastAsia"/>
                <w:sz w:val="32"/>
                <w:szCs w:val="32"/>
              </w:rPr>
              <w:t>函轉銓敍部審定其資遣年資及給與。</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各機關資遣人員，應填具資遣事實表，檢同退撫新制實施前之任職證件及其他相關證明文件，交由各主管機關依前項規定函轉銓敍部審定資遣年資及給與。</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各機關資遣人員未依前項規定辦理者，應由服務機關代為填具資遣事實表，檢同相關證明文件，交由各主管機關函轉銓敍部審定。</w:t>
            </w:r>
          </w:p>
        </w:tc>
      </w:tr>
      <w:tr w:rsidR="00AA4AA0" w:rsidRPr="00CB4ACD">
        <w:tc>
          <w:tcPr>
            <w:tcW w:w="1843" w:type="dxa"/>
          </w:tcPr>
          <w:p w:rsidR="00AA4AA0" w:rsidRPr="00CB4ACD" w:rsidRDefault="00AA4AA0" w:rsidP="00AA4AA0">
            <w:pPr>
              <w:pStyle w:val="a0"/>
              <w:spacing w:line="560" w:lineRule="exact"/>
              <w:ind w:left="31680" w:firstLine="31680"/>
              <w:jc w:val="distribute"/>
              <w:rPr>
                <w:rFonts w:cs="Times New Roman"/>
                <w:sz w:val="32"/>
                <w:szCs w:val="32"/>
              </w:rPr>
            </w:pPr>
            <w:r w:rsidRPr="00CB4ACD">
              <w:rPr>
                <w:rFonts w:cs="標楷體" w:hint="eastAsia"/>
                <w:sz w:val="32"/>
                <w:szCs w:val="32"/>
              </w:rPr>
              <w:t>第三十六條</w:t>
            </w:r>
          </w:p>
        </w:tc>
        <w:tc>
          <w:tcPr>
            <w:tcW w:w="7653" w:type="dxa"/>
          </w:tcPr>
          <w:p w:rsidR="00AA4AA0" w:rsidRPr="00CB4ACD" w:rsidRDefault="00AA4AA0" w:rsidP="00AA4AA0">
            <w:pPr>
              <w:pStyle w:val="a0"/>
              <w:spacing w:line="560" w:lineRule="exact"/>
              <w:ind w:left="0" w:firstLineChars="200" w:firstLine="31680"/>
              <w:rPr>
                <w:rFonts w:cs="Times New Roman"/>
                <w:sz w:val="32"/>
                <w:szCs w:val="32"/>
              </w:rPr>
            </w:pPr>
            <w:r w:rsidRPr="00CB4ACD">
              <w:rPr>
                <w:rFonts w:cs="標楷體"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AA4AA0" w:rsidRPr="00CB4ACD" w:rsidRDefault="00AA4AA0" w:rsidP="00AA4AA0">
            <w:pPr>
              <w:pStyle w:val="a1"/>
              <w:spacing w:line="560" w:lineRule="exact"/>
              <w:ind w:leftChars="0" w:left="0" w:firstLine="31680"/>
              <w:rPr>
                <w:rFonts w:cs="Times New Roman"/>
                <w:sz w:val="32"/>
                <w:szCs w:val="32"/>
              </w:rPr>
            </w:pPr>
            <w:r w:rsidRPr="00CB4ACD">
              <w:rPr>
                <w:rFonts w:cs="標楷體" w:hint="eastAsia"/>
                <w:sz w:val="32"/>
                <w:szCs w:val="32"/>
              </w:rPr>
              <w:t>本法第十八條第四項第一款所定配偶領取月撫慰金之年齡及婚姻存續關係，依戶籍記載認定之。</w:t>
            </w:r>
          </w:p>
        </w:tc>
      </w:tr>
    </w:tbl>
    <w:p w:rsidR="00AA4AA0" w:rsidRPr="00CB4ACD" w:rsidRDefault="00AA4AA0" w:rsidP="00480C41">
      <w:pPr>
        <w:spacing w:before="72" w:after="72"/>
        <w:rPr>
          <w:rFonts w:cs="Times New Roman"/>
        </w:rPr>
      </w:pPr>
    </w:p>
    <w:p w:rsidR="00AA4AA0" w:rsidRPr="00CB4ACD" w:rsidRDefault="00AA4AA0" w:rsidP="00480C41">
      <w:pPr>
        <w:spacing w:before="72" w:after="72"/>
        <w:rPr>
          <w:rFonts w:cs="Times New Roman"/>
        </w:rPr>
        <w:sectPr w:rsidR="00AA4AA0" w:rsidRPr="00CB4ACD" w:rsidSect="00014E42">
          <w:footerReference w:type="default" r:id="rId7"/>
          <w:footerReference w:type="first" r:id="rId8"/>
          <w:type w:val="oddPage"/>
          <w:pgSz w:w="11907" w:h="16839" w:code="9"/>
          <w:pgMar w:top="1418" w:right="1418" w:bottom="1418" w:left="1418" w:header="851" w:footer="992" w:gutter="0"/>
          <w:pgNumType w:start="1"/>
          <w:cols w:space="425"/>
          <w:titlePg/>
          <w:docGrid w:type="lines" w:linePitch="360"/>
        </w:sectPr>
      </w:pPr>
    </w:p>
    <w:p w:rsidR="00AA4AA0" w:rsidRPr="00CB4ACD" w:rsidRDefault="00AA4AA0" w:rsidP="00BF34B2">
      <w:pPr>
        <w:snapToGrid w:val="0"/>
        <w:spacing w:line="240" w:lineRule="atLeast"/>
        <w:rPr>
          <w:rFonts w:cs="Times New Roman"/>
          <w:sz w:val="28"/>
          <w:szCs w:val="28"/>
        </w:rPr>
      </w:pPr>
      <w:r w:rsidRPr="00CB4ACD">
        <w:rPr>
          <w:rFonts w:ascii="標楷體" w:eastAsia="標楷體" w:hAnsi="標楷體" w:cs="標楷體" w:hint="eastAsia"/>
          <w:sz w:val="28"/>
          <w:szCs w:val="28"/>
        </w:rPr>
        <w:t>附表二　公務人員退休法第三十條第二項及第三項加發補償金計算標準表</w:t>
      </w:r>
    </w:p>
    <w:tbl>
      <w:tblPr>
        <w:tblW w:w="20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A4AA0" w:rsidRPr="00CB4ACD">
        <w:trPr>
          <w:trHeight w:val="313"/>
        </w:trPr>
        <w:tc>
          <w:tcPr>
            <w:tcW w:w="2345" w:type="dxa"/>
            <w:gridSpan w:val="2"/>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 filled="f" stroked="f">
                  <v:fill opacity="0"/>
                  <v:textbox style="mso-next-textbox:#文字方塊 3" inset="0,0,0,0">
                    <w:txbxContent>
                      <w:p w:rsidR="00AA4AA0" w:rsidRPr="00F841C6" w:rsidRDefault="00AA4AA0" w:rsidP="00BF34B2">
                        <w:pPr>
                          <w:rPr>
                            <w:rFonts w:ascii="標楷體" w:eastAsia="標楷體" w:hAnsi="標楷體" w:cs="Times New Roman"/>
                            <w:sz w:val="16"/>
                            <w:szCs w:val="16"/>
                          </w:rPr>
                        </w:pPr>
                        <w:r w:rsidRPr="00F841C6">
                          <w:rPr>
                            <w:rFonts w:ascii="標楷體" w:eastAsia="標楷體" w:hAnsi="標楷體" w:cs="標楷體" w:hint="eastAsia"/>
                            <w:sz w:val="16"/>
                            <w:szCs w:val="16"/>
                          </w:rPr>
                          <w:t>新制年資</w:t>
                        </w:r>
                      </w:p>
                    </w:txbxContent>
                  </v:textbox>
                </v:shape>
              </w:pict>
            </w:r>
            <w:r>
              <w:rPr>
                <w:noProof/>
              </w:rPr>
              <w:pict>
                <v:shape id="文字方塊 2" o:spid="_x0000_s1027" type="#_x0000_t202" style="position:absolute;left:0;text-align:left;margin-left:6.65pt;margin-top:16.85pt;width:45pt;height:18pt;z-index:251658752;visibility:visible" filled="f" stroked="f">
                  <v:textbox style="mso-next-textbox:#文字方塊 2" inset="0,0,0,0">
                    <w:txbxContent>
                      <w:p w:rsidR="00AA4AA0" w:rsidRPr="00F841C6" w:rsidRDefault="00AA4AA0" w:rsidP="00BF34B2">
                        <w:pPr>
                          <w:rPr>
                            <w:rFonts w:ascii="標楷體" w:eastAsia="標楷體" w:hAnsi="標楷體" w:cs="Times New Roman"/>
                            <w:sz w:val="16"/>
                            <w:szCs w:val="16"/>
                          </w:rPr>
                        </w:pPr>
                        <w:r w:rsidRPr="00F841C6">
                          <w:rPr>
                            <w:rFonts w:ascii="標楷體" w:eastAsia="標楷體" w:hAnsi="標楷體" w:cs="標楷體" w:hint="eastAsia"/>
                            <w:sz w:val="16"/>
                            <w:szCs w:val="16"/>
                          </w:rPr>
                          <w:t>舊制年資</w:t>
                        </w:r>
                      </w:p>
                    </w:txbxContent>
                  </v:textbox>
                </v:shape>
              </w:pict>
            </w:r>
            <w:r>
              <w:rPr>
                <w:noProof/>
              </w:rPr>
              <w:pict>
                <v:line id="直線接點 1" o:spid="_x0000_s1028" style="position:absolute;left:0;text-align:left;z-index:251657728;visibility:visible" from="-.85pt,1.1pt" to="114.4pt,41.45pt" strokeweight=".5pt"/>
              </w:pic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一</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四</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五</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六</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七</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八</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九</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一</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四</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五</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六</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七</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八</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九</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一</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四</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五</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六</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七</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八</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九</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一</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四</w:t>
            </w:r>
          </w:p>
        </w:tc>
      </w:tr>
      <w:tr w:rsidR="00AA4AA0" w:rsidRPr="00CB4ACD">
        <w:trPr>
          <w:trHeight w:val="172"/>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一</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7</w:t>
            </w:r>
          </w:p>
        </w:tc>
      </w:tr>
      <w:tr w:rsidR="00AA4AA0" w:rsidRPr="00CB4ACD">
        <w:trPr>
          <w:trHeight w:val="182"/>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6"/>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3"/>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6"/>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6</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0"/>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1"/>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四</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0"/>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8"/>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五</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9"/>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4"/>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六</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6"/>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59"/>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七</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4</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86"/>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56"/>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八</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7"/>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80"/>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九</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4"/>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6"/>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3"/>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58"/>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一</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84"/>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53"/>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二</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80"/>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4"/>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三</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1"/>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4"/>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四</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2"/>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83"/>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五</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A4AA0" w:rsidRPr="00CB4ACD">
        <w:trPr>
          <w:trHeight w:val="154"/>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80"/>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六</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A4AA0" w:rsidRPr="00CB4ACD">
        <w:trPr>
          <w:trHeight w:val="163"/>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6"/>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七</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A4AA0" w:rsidRPr="00CB4ACD">
        <w:trPr>
          <w:trHeight w:val="160"/>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3</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71"/>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八</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A4AA0" w:rsidRPr="00CB4ACD">
        <w:trPr>
          <w:trHeight w:val="170"/>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2</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1.5</w:t>
            </w: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r w:rsidR="00AA4AA0" w:rsidRPr="00CB4ACD">
        <w:trPr>
          <w:trHeight w:val="168"/>
        </w:trPr>
        <w:tc>
          <w:tcPr>
            <w:tcW w:w="545" w:type="dxa"/>
            <w:vMerge w:val="restart"/>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十</w:t>
            </w:r>
          </w:p>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r w:rsidRPr="00CB4ACD">
              <w:rPr>
                <w:rFonts w:ascii="標楷體" w:eastAsia="標楷體" w:hAnsi="標楷體" w:cs="標楷體" w:hint="eastAsia"/>
                <w:snapToGrid w:val="0"/>
                <w:kern w:val="0"/>
                <w:sz w:val="22"/>
                <w:szCs w:val="22"/>
              </w:rPr>
              <w:t>九</w:t>
            </w: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月補償金％或一次補償金基數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r>
      <w:tr w:rsidR="00AA4AA0" w:rsidRPr="00CB4ACD">
        <w:trPr>
          <w:trHeight w:val="179"/>
        </w:trPr>
        <w:tc>
          <w:tcPr>
            <w:tcW w:w="545" w:type="dxa"/>
            <w:vMerge/>
            <w:noWrap/>
            <w:vAlign w:val="center"/>
          </w:tcPr>
          <w:p w:rsidR="00AA4AA0" w:rsidRPr="00CB4ACD" w:rsidRDefault="00AA4AA0" w:rsidP="00AA0E25">
            <w:pPr>
              <w:adjustRightInd w:val="0"/>
              <w:snapToGrid w:val="0"/>
              <w:spacing w:line="240" w:lineRule="atLeast"/>
              <w:jc w:val="center"/>
              <w:rPr>
                <w:rFonts w:ascii="標楷體" w:eastAsia="標楷體" w:hAnsi="標楷體" w:cs="Times New Roman"/>
                <w:snapToGrid w:val="0"/>
                <w:kern w:val="0"/>
                <w:sz w:val="22"/>
                <w:szCs w:val="22"/>
              </w:rPr>
            </w:pPr>
          </w:p>
        </w:tc>
        <w:tc>
          <w:tcPr>
            <w:tcW w:w="1800" w:type="dxa"/>
            <w:noWrap/>
            <w:vAlign w:val="center"/>
          </w:tcPr>
          <w:p w:rsidR="00AA4AA0" w:rsidRPr="00CB4ACD" w:rsidRDefault="00AA4AA0" w:rsidP="00AA0E25">
            <w:pPr>
              <w:adjustRightInd w:val="0"/>
              <w:snapToGrid w:val="0"/>
              <w:spacing w:line="240" w:lineRule="atLeast"/>
              <w:jc w:val="distribute"/>
              <w:rPr>
                <w:rFonts w:ascii="標楷體" w:eastAsia="標楷體" w:hAnsi="標楷體" w:cs="Times New Roman"/>
                <w:snapToGrid w:val="0"/>
                <w:kern w:val="0"/>
                <w:sz w:val="13"/>
                <w:szCs w:val="13"/>
              </w:rPr>
            </w:pPr>
            <w:r w:rsidRPr="00CB4ACD">
              <w:rPr>
                <w:rFonts w:ascii="標楷體" w:eastAsia="標楷體" w:hAnsi="標楷體" w:cs="標楷體" w:hint="eastAsia"/>
                <w:snapToGrid w:val="0"/>
                <w:kern w:val="0"/>
                <w:sz w:val="13"/>
                <w:szCs w:val="13"/>
              </w:rPr>
              <w:t>再一次加發補償金基數</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1</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r w:rsidRPr="00CB4ACD">
              <w:rPr>
                <w:rFonts w:ascii="標楷體" w:eastAsia="標楷體" w:hAnsi="標楷體" w:cs="標楷體"/>
                <w:snapToGrid w:val="0"/>
                <w:kern w:val="0"/>
                <w:sz w:val="22"/>
                <w:szCs w:val="22"/>
              </w:rPr>
              <w:t>0.5</w:t>
            </w: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5"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c>
          <w:tcPr>
            <w:tcW w:w="546" w:type="dxa"/>
            <w:noWrap/>
            <w:vAlign w:val="center"/>
          </w:tcPr>
          <w:p w:rsidR="00AA4AA0" w:rsidRPr="00CB4ACD" w:rsidRDefault="00AA4AA0" w:rsidP="00AA0E25">
            <w:pPr>
              <w:adjustRightInd w:val="0"/>
              <w:snapToGrid w:val="0"/>
              <w:spacing w:line="240" w:lineRule="atLeast"/>
              <w:jc w:val="center"/>
              <w:rPr>
                <w:rFonts w:ascii="標楷體" w:eastAsia="標楷體" w:hAnsi="標楷體" w:cs="標楷體"/>
                <w:snapToGrid w:val="0"/>
                <w:kern w:val="0"/>
                <w:sz w:val="22"/>
                <w:szCs w:val="22"/>
              </w:rPr>
            </w:pPr>
          </w:p>
        </w:tc>
      </w:tr>
    </w:tbl>
    <w:p w:rsidR="00AA4AA0" w:rsidRPr="00CB4ACD" w:rsidRDefault="00AA4AA0" w:rsidP="00BF34B2">
      <w:pPr>
        <w:tabs>
          <w:tab w:val="right" w:pos="20934"/>
        </w:tabs>
        <w:adjustRightInd w:val="0"/>
        <w:snapToGrid w:val="0"/>
        <w:spacing w:line="240" w:lineRule="atLeast"/>
        <w:rPr>
          <w:rFonts w:ascii="標楷體" w:eastAsia="標楷體" w:hAnsi="標楷體" w:cs="Times New Roman"/>
        </w:rPr>
      </w:pPr>
      <w:r w:rsidRPr="00CB4ACD">
        <w:rPr>
          <w:rFonts w:ascii="標楷體" w:eastAsia="標楷體" w:hAnsi="標楷體" w:cs="標楷體" w:hint="eastAsia"/>
        </w:rPr>
        <w:t>註記：一、本表依公務人員退休法第三十條第二項及第三項之規定訂定。</w:t>
      </w:r>
    </w:p>
    <w:p w:rsidR="00AA4AA0" w:rsidRPr="00CB4ACD" w:rsidRDefault="00AA4AA0" w:rsidP="00387BE9">
      <w:pPr>
        <w:tabs>
          <w:tab w:val="right" w:pos="20934"/>
        </w:tabs>
        <w:adjustRightInd w:val="0"/>
        <w:snapToGrid w:val="0"/>
        <w:spacing w:line="240" w:lineRule="atLeast"/>
        <w:ind w:firstLineChars="300" w:firstLine="31680"/>
        <w:rPr>
          <w:rFonts w:ascii="標楷體" w:eastAsia="標楷體" w:hAnsi="標楷體" w:cs="Times New Roman"/>
        </w:rPr>
      </w:pPr>
      <w:r w:rsidRPr="00CB4ACD">
        <w:rPr>
          <w:rFonts w:ascii="標楷體" w:eastAsia="標楷體" w:hAnsi="標楷體" w:cs="標楷體" w:hint="eastAsia"/>
        </w:rPr>
        <w:t>二、月補償金併月退休金發放，一次補償金於公務人員退休時一次發給。</w:t>
      </w:r>
    </w:p>
    <w:p w:rsidR="00AA4AA0" w:rsidRPr="00CB4ACD" w:rsidRDefault="00AA4AA0" w:rsidP="00387BE9">
      <w:pPr>
        <w:tabs>
          <w:tab w:val="right" w:pos="20934"/>
        </w:tabs>
        <w:adjustRightInd w:val="0"/>
        <w:snapToGrid w:val="0"/>
        <w:spacing w:line="240" w:lineRule="atLeast"/>
        <w:ind w:firstLineChars="300" w:firstLine="31680"/>
        <w:rPr>
          <w:rFonts w:ascii="標楷體" w:eastAsia="標楷體" w:hAnsi="標楷體" w:cs="Times New Roman"/>
        </w:rPr>
      </w:pPr>
      <w:r w:rsidRPr="00CB4ACD">
        <w:rPr>
          <w:rFonts w:ascii="標楷體" w:eastAsia="標楷體" w:hAnsi="標楷體" w:cs="標楷體" w:hint="eastAsia"/>
        </w:rPr>
        <w:t>三、兼領一次退休金與月退休金者，其補償金依其支領比例計算。</w:t>
      </w:r>
    </w:p>
    <w:p w:rsidR="00AA4AA0" w:rsidRPr="00CB4ACD" w:rsidRDefault="00AA4AA0" w:rsidP="00480C41">
      <w:pPr>
        <w:spacing w:before="72" w:after="72"/>
        <w:rPr>
          <w:rFonts w:cs="Times New Roman"/>
        </w:rPr>
      </w:pPr>
    </w:p>
    <w:sectPr w:rsidR="00AA4AA0"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AA0" w:rsidRDefault="00AA4AA0" w:rsidP="00480C41">
      <w:pPr>
        <w:spacing w:before="48" w:after="48"/>
        <w:rPr>
          <w:rFonts w:cs="Times New Roman"/>
        </w:rPr>
      </w:pPr>
      <w:r>
        <w:rPr>
          <w:rFonts w:cs="Times New Roman"/>
        </w:rPr>
        <w:separator/>
      </w:r>
    </w:p>
  </w:endnote>
  <w:endnote w:type="continuationSeparator" w:id="1">
    <w:p w:rsidR="00AA4AA0" w:rsidRDefault="00AA4AA0" w:rsidP="00480C41">
      <w:pPr>
        <w:spacing w:before="48" w:after="48"/>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A0" w:rsidRDefault="00AA4AA0">
    <w:pPr>
      <w:pStyle w:val="Footer"/>
      <w:jc w:val="center"/>
      <w:rPr>
        <w:rFonts w:cs="Times New Roman"/>
      </w:rPr>
    </w:pPr>
    <w:fldSimple w:instr="PAGE   \* MERGEFORMAT">
      <w:r w:rsidRPr="00387BE9">
        <w:rPr>
          <w:noProof/>
          <w:lang w:val="zh-TW"/>
        </w:rPr>
        <w:t>2</w:t>
      </w:r>
    </w:fldSimple>
  </w:p>
  <w:p w:rsidR="00AA4AA0" w:rsidRDefault="00AA4AA0">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A0" w:rsidRDefault="00AA4AA0">
    <w:pPr>
      <w:pStyle w:val="Footer"/>
      <w:jc w:val="center"/>
      <w:rPr>
        <w:rFonts w:cs="Times New Roman"/>
      </w:rPr>
    </w:pPr>
    <w:fldSimple w:instr="PAGE   \* MERGEFORMAT">
      <w:r w:rsidRPr="00387BE9">
        <w:rPr>
          <w:noProof/>
          <w:lang w:val="zh-TW"/>
        </w:rPr>
        <w:t>1</w:t>
      </w:r>
    </w:fldSimple>
  </w:p>
  <w:p w:rsidR="00AA4AA0" w:rsidRDefault="00AA4AA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AA0" w:rsidRDefault="00AA4AA0" w:rsidP="00480C41">
      <w:pPr>
        <w:spacing w:before="48" w:after="48"/>
        <w:rPr>
          <w:rFonts w:cs="Times New Roman"/>
        </w:rPr>
      </w:pPr>
      <w:r>
        <w:rPr>
          <w:rFonts w:cs="Times New Roman"/>
        </w:rPr>
        <w:separator/>
      </w:r>
    </w:p>
  </w:footnote>
  <w:footnote w:type="continuationSeparator" w:id="1">
    <w:p w:rsidR="00AA4AA0" w:rsidRDefault="00AA4AA0" w:rsidP="00480C41">
      <w:pPr>
        <w:spacing w:before="48" w:after="48"/>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r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r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rPr>
    </w:lvl>
    <w:lvl w:ilvl="1" w:tplc="04090019">
      <w:start w:val="1"/>
      <w:numFmt w:val="ideographTraditional"/>
      <w:lvlText w:val="%2、"/>
      <w:lvlJc w:val="left"/>
      <w:pPr>
        <w:ind w:left="936" w:hanging="480"/>
      </w:p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start w:val="1"/>
      <w:numFmt w:val="lowerRoman"/>
      <w:lvlText w:val="%3."/>
      <w:lvlJc w:val="right"/>
      <w:pPr>
        <w:ind w:left="1416" w:hanging="480"/>
      </w:pPr>
    </w:lvl>
    <w:lvl w:ilvl="3" w:tplc="0409000F">
      <w:start w:val="1"/>
      <w:numFmt w:val="decimal"/>
      <w:lvlText w:val="%4."/>
      <w:lvlJc w:val="left"/>
      <w:pPr>
        <w:ind w:left="1896" w:hanging="480"/>
      </w:pPr>
    </w:lvl>
    <w:lvl w:ilvl="4" w:tplc="04090019">
      <w:start w:val="1"/>
      <w:numFmt w:val="ideographTraditional"/>
      <w:lvlText w:val="%5、"/>
      <w:lvlJc w:val="left"/>
      <w:pPr>
        <w:ind w:left="2376" w:hanging="480"/>
      </w:pPr>
    </w:lvl>
    <w:lvl w:ilvl="5" w:tplc="0409001B">
      <w:start w:val="1"/>
      <w:numFmt w:val="lowerRoman"/>
      <w:lvlText w:val="%6."/>
      <w:lvlJc w:val="right"/>
      <w:pPr>
        <w:ind w:left="2856" w:hanging="480"/>
      </w:pPr>
    </w:lvl>
    <w:lvl w:ilvl="6" w:tplc="0409000F">
      <w:start w:val="1"/>
      <w:numFmt w:val="decimal"/>
      <w:lvlText w:val="%7."/>
      <w:lvlJc w:val="left"/>
      <w:pPr>
        <w:ind w:left="3336" w:hanging="480"/>
      </w:pPr>
    </w:lvl>
    <w:lvl w:ilvl="7" w:tplc="04090019">
      <w:start w:val="1"/>
      <w:numFmt w:val="ideographTraditional"/>
      <w:lvlText w:val="%8、"/>
      <w:lvlJc w:val="left"/>
      <w:pPr>
        <w:ind w:left="3816" w:hanging="480"/>
      </w:pPr>
    </w:lvl>
    <w:lvl w:ilvl="8" w:tplc="0409001B">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87BE9"/>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40AA"/>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AA0"/>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1D6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DF645A"/>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41C6"/>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6C"/>
    <w:rPr>
      <w:rFonts w:cs="Calibri"/>
      <w:szCs w:val="24"/>
    </w:rPr>
  </w:style>
  <w:style w:type="paragraph" w:styleId="Heading1">
    <w:name w:val="heading 1"/>
    <w:basedOn w:val="Normal"/>
    <w:next w:val="Normal"/>
    <w:link w:val="Heading1Char"/>
    <w:uiPriority w:val="99"/>
    <w:qFormat/>
    <w:rsid w:val="008433F4"/>
    <w:pPr>
      <w:keepNext/>
      <w:spacing w:before="180" w:after="180" w:line="600" w:lineRule="exact"/>
      <w:jc w:val="both"/>
      <w:outlineLvl w:val="0"/>
    </w:pPr>
    <w:rPr>
      <w:rFonts w:ascii="Cambria" w:eastAsia="標楷體" w:hAnsi="Cambria" w:cs="Cambria"/>
      <w:b/>
      <w:bCs/>
      <w:kern w:val="5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3F4"/>
    <w:rPr>
      <w:rFonts w:ascii="Cambria" w:eastAsia="標楷體" w:hAnsi="Cambria" w:cs="Cambria"/>
      <w:b/>
      <w:bCs/>
      <w:kern w:val="52"/>
      <w:sz w:val="52"/>
      <w:szCs w:val="52"/>
    </w:rPr>
  </w:style>
  <w:style w:type="paragraph" w:styleId="Header">
    <w:name w:val="header"/>
    <w:basedOn w:val="Normal"/>
    <w:link w:val="HeaderChar"/>
    <w:uiPriority w:val="99"/>
    <w:rsid w:val="00BA64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A6427"/>
    <w:rPr>
      <w:kern w:val="2"/>
    </w:rPr>
  </w:style>
  <w:style w:type="paragraph" w:styleId="Footer">
    <w:name w:val="footer"/>
    <w:basedOn w:val="Normal"/>
    <w:link w:val="FooterChar"/>
    <w:uiPriority w:val="99"/>
    <w:rsid w:val="00BA64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A6427"/>
    <w:rPr>
      <w:kern w:val="2"/>
    </w:rPr>
  </w:style>
  <w:style w:type="character" w:styleId="CommentReference">
    <w:name w:val="annotation reference"/>
    <w:basedOn w:val="DefaultParagraphFont"/>
    <w:uiPriority w:val="99"/>
    <w:semiHidden/>
    <w:rsid w:val="0092774F"/>
    <w:rPr>
      <w:sz w:val="18"/>
      <w:szCs w:val="18"/>
    </w:rPr>
  </w:style>
  <w:style w:type="paragraph" w:styleId="CommentText">
    <w:name w:val="annotation text"/>
    <w:basedOn w:val="Normal"/>
    <w:link w:val="CommentTextChar"/>
    <w:uiPriority w:val="99"/>
    <w:semiHidden/>
    <w:rsid w:val="0092774F"/>
  </w:style>
  <w:style w:type="character" w:customStyle="1" w:styleId="CommentTextChar">
    <w:name w:val="Comment Text Char"/>
    <w:basedOn w:val="DefaultParagraphFont"/>
    <w:link w:val="CommentText"/>
    <w:uiPriority w:val="99"/>
    <w:semiHidden/>
    <w:locked/>
    <w:rsid w:val="0092774F"/>
    <w:rPr>
      <w:kern w:val="2"/>
      <w:sz w:val="22"/>
      <w:szCs w:val="22"/>
    </w:rPr>
  </w:style>
  <w:style w:type="paragraph" w:styleId="CommentSubject">
    <w:name w:val="annotation subject"/>
    <w:basedOn w:val="CommentText"/>
    <w:next w:val="CommentText"/>
    <w:link w:val="CommentSubjectChar"/>
    <w:uiPriority w:val="99"/>
    <w:semiHidden/>
    <w:rsid w:val="0092774F"/>
    <w:rPr>
      <w:b/>
      <w:bCs/>
    </w:rPr>
  </w:style>
  <w:style w:type="character" w:customStyle="1" w:styleId="CommentSubjectChar">
    <w:name w:val="Comment Subject Char"/>
    <w:basedOn w:val="CommentTextChar"/>
    <w:link w:val="CommentSubject"/>
    <w:uiPriority w:val="99"/>
    <w:semiHidden/>
    <w:locked/>
    <w:rsid w:val="0092774F"/>
    <w:rPr>
      <w:b/>
      <w:bCs/>
    </w:rPr>
  </w:style>
  <w:style w:type="paragraph" w:styleId="BalloonText">
    <w:name w:val="Balloon Text"/>
    <w:basedOn w:val="Normal"/>
    <w:link w:val="BalloonTextChar"/>
    <w:uiPriority w:val="99"/>
    <w:semiHidden/>
    <w:rsid w:val="0092774F"/>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92774F"/>
    <w:rPr>
      <w:rFonts w:ascii="Cambria" w:eastAsia="新細明體" w:hAnsi="Cambria" w:cs="Cambria"/>
      <w:kern w:val="2"/>
      <w:sz w:val="18"/>
      <w:szCs w:val="18"/>
    </w:rPr>
  </w:style>
  <w:style w:type="paragraph" w:customStyle="1" w:styleId="1">
    <w:name w:val="字元 字元1"/>
    <w:basedOn w:val="Normal"/>
    <w:uiPriority w:val="99"/>
    <w:rsid w:val="001D1FED"/>
    <w:pPr>
      <w:spacing w:after="160" w:line="240" w:lineRule="exact"/>
    </w:pPr>
    <w:rPr>
      <w:rFonts w:ascii="Tahoma" w:hAnsi="Tahoma" w:cs="Tahoma"/>
      <w:kern w:val="0"/>
      <w:sz w:val="20"/>
      <w:szCs w:val="20"/>
      <w:lang w:eastAsia="en-US"/>
    </w:rPr>
  </w:style>
  <w:style w:type="paragraph" w:customStyle="1" w:styleId="a">
    <w:name w:val="目次用標題"/>
    <w:basedOn w:val="Normal"/>
    <w:uiPriority w:val="99"/>
    <w:rsid w:val="00273645"/>
    <w:pPr>
      <w:spacing w:line="560" w:lineRule="exact"/>
    </w:pPr>
    <w:rPr>
      <w:rFonts w:ascii="標楷體" w:eastAsia="標楷體" w:hAnsi="標楷體" w:cs="標楷體"/>
      <w:b/>
      <w:bCs/>
      <w:sz w:val="32"/>
      <w:szCs w:val="32"/>
    </w:rPr>
  </w:style>
  <w:style w:type="character" w:styleId="PageNumber">
    <w:name w:val="page number"/>
    <w:basedOn w:val="DefaultParagraphFont"/>
    <w:uiPriority w:val="99"/>
    <w:rsid w:val="00E42FB4"/>
  </w:style>
  <w:style w:type="paragraph" w:customStyle="1" w:styleId="a0">
    <w:name w:val="第一項"/>
    <w:basedOn w:val="Normal"/>
    <w:uiPriority w:val="99"/>
    <w:rsid w:val="00E42FB4"/>
    <w:pPr>
      <w:overflowPunct w:val="0"/>
      <w:spacing w:line="320" w:lineRule="exact"/>
      <w:ind w:left="240" w:hangingChars="100" w:hanging="240"/>
      <w:jc w:val="both"/>
    </w:pPr>
    <w:rPr>
      <w:rFonts w:ascii="Tahoma" w:eastAsia="標楷體" w:hAnsi="Tahoma" w:cs="Tahoma"/>
      <w:kern w:val="0"/>
    </w:rPr>
  </w:style>
  <w:style w:type="paragraph" w:customStyle="1" w:styleId="a1">
    <w:name w:val="第二項"/>
    <w:basedOn w:val="Normal"/>
    <w:uiPriority w:val="99"/>
    <w:rsid w:val="00E42FB4"/>
    <w:pPr>
      <w:overflowPunct w:val="0"/>
      <w:adjustRightInd w:val="0"/>
      <w:snapToGrid w:val="0"/>
      <w:ind w:leftChars="100" w:left="240" w:firstLineChars="200" w:firstLine="480"/>
      <w:jc w:val="both"/>
    </w:pPr>
    <w:rPr>
      <w:rFonts w:ascii="Tahoma" w:eastAsia="標楷體" w:hAnsi="Tahoma" w:cs="Tahoma"/>
      <w:kern w:val="0"/>
    </w:rPr>
  </w:style>
  <w:style w:type="paragraph" w:customStyle="1" w:styleId="a2">
    <w:name w:val="款"/>
    <w:basedOn w:val="Normal"/>
    <w:uiPriority w:val="99"/>
    <w:rsid w:val="00E42FB4"/>
    <w:pPr>
      <w:overflowPunct w:val="0"/>
      <w:adjustRightInd w:val="0"/>
      <w:snapToGrid w:val="0"/>
      <w:ind w:leftChars="100" w:left="744" w:hangingChars="210" w:hanging="504"/>
      <w:jc w:val="both"/>
    </w:pPr>
    <w:rPr>
      <w:rFonts w:ascii="標楷體" w:eastAsia="標楷體" w:hAnsi="新細明體" w:cs="標楷體"/>
      <w:u w:val="single"/>
    </w:rPr>
  </w:style>
  <w:style w:type="paragraph" w:styleId="ListParagraph">
    <w:name w:val="List Paragraph"/>
    <w:basedOn w:val="Normal"/>
    <w:uiPriority w:val="99"/>
    <w:qFormat/>
    <w:rsid w:val="00E42FB4"/>
    <w:pPr>
      <w:ind w:leftChars="200" w:left="480"/>
    </w:pPr>
    <w:rPr>
      <w:rFonts w:ascii="Times New Roman" w:hAnsi="Times New Roman" w:cs="Times New Roman"/>
    </w:rPr>
  </w:style>
  <w:style w:type="paragraph" w:styleId="HTMLPreformatted">
    <w:name w:val="HTML Preformatted"/>
    <w:basedOn w:val="Normal"/>
    <w:link w:val="HTMLPreformattedChar"/>
    <w:uiPriority w:val="99"/>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0B2AEF"/>
    <w:rPr>
      <w:rFonts w:ascii="細明體" w:eastAsia="細明體" w:hAnsi="細明體" w:cs="細明體"/>
      <w:sz w:val="24"/>
      <w:szCs w:val="24"/>
    </w:rPr>
  </w:style>
  <w:style w:type="character" w:styleId="Hyperlink">
    <w:name w:val="Hyperlink"/>
    <w:basedOn w:val="DefaultParagraphFont"/>
    <w:uiPriority w:val="99"/>
    <w:rsid w:val="001F2088"/>
    <w:rPr>
      <w:color w:val="0000FF"/>
      <w:u w:val="single"/>
    </w:rPr>
  </w:style>
  <w:style w:type="paragraph" w:styleId="TOC1">
    <w:name w:val="toc 1"/>
    <w:basedOn w:val="Normal"/>
    <w:next w:val="Normal"/>
    <w:autoRedefine/>
    <w:uiPriority w:val="99"/>
    <w:semiHidden/>
    <w:rsid w:val="008E57BD"/>
    <w:pPr>
      <w:tabs>
        <w:tab w:val="right" w:leader="dot" w:pos="8861"/>
      </w:tabs>
      <w:spacing w:beforeLines="50" w:line="560" w:lineRule="exact"/>
      <w:ind w:leftChars="235" w:left="564" w:rightChars="240" w:right="576" w:firstLine="1"/>
      <w:jc w:val="both"/>
    </w:pPr>
    <w:rPr>
      <w:rFonts w:eastAsia="標楷體"/>
      <w:sz w:val="32"/>
      <w:szCs w:val="32"/>
    </w:rPr>
  </w:style>
  <w:style w:type="table" w:styleId="TableGrid">
    <w:name w:val="Table Grid"/>
    <w:basedOn w:val="TableNormal"/>
    <w:uiPriority w:val="99"/>
    <w:rsid w:val="00BF34B2"/>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字元 字元11"/>
    <w:basedOn w:val="Normal"/>
    <w:uiPriority w:val="99"/>
    <w:rsid w:val="00BF34B2"/>
    <w:pPr>
      <w:spacing w:after="160" w:line="240" w:lineRule="exact"/>
    </w:pPr>
    <w:rPr>
      <w:rFonts w:ascii="Tahoma" w:hAnsi="Tahoma" w:cs="Tahoma"/>
      <w:kern w:val="0"/>
      <w:sz w:val="20"/>
      <w:szCs w:val="20"/>
      <w:lang w:eastAsia="en-US"/>
    </w:rPr>
  </w:style>
  <w:style w:type="paragraph" w:customStyle="1" w:styleId="a3">
    <w:name w:val="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redtxt1">
    <w:name w:val="red_txt1"/>
    <w:uiPriority w:val="99"/>
    <w:rsid w:val="00BF34B2"/>
    <w:rPr>
      <w:color w:val="FF0000"/>
      <w:u w:val="none"/>
      <w:effect w:val="none"/>
    </w:rPr>
  </w:style>
  <w:style w:type="paragraph" w:styleId="PlainText">
    <w:name w:val="Plain Text"/>
    <w:basedOn w:val="Normal"/>
    <w:link w:val="PlainTextChar"/>
    <w:uiPriority w:val="99"/>
    <w:rsid w:val="00BF34B2"/>
    <w:pPr>
      <w:widowControl w:val="0"/>
    </w:pPr>
    <w:rPr>
      <w:rFonts w:ascii="細明體" w:eastAsia="細明體" w:hAnsi="Courier New" w:cs="細明體"/>
    </w:rPr>
  </w:style>
  <w:style w:type="character" w:customStyle="1" w:styleId="PlainTextChar">
    <w:name w:val="Plain Text Char"/>
    <w:basedOn w:val="DefaultParagraphFont"/>
    <w:link w:val="PlainText"/>
    <w:uiPriority w:val="99"/>
    <w:locked/>
    <w:rsid w:val="00BF34B2"/>
    <w:rPr>
      <w:rFonts w:ascii="細明體" w:eastAsia="細明體" w:hAnsi="Courier New" w:cs="細明體"/>
      <w:kern w:val="2"/>
      <w:sz w:val="24"/>
      <w:szCs w:val="24"/>
    </w:rPr>
  </w:style>
  <w:style w:type="paragraph" w:customStyle="1" w:styleId="a4">
    <w:name w:val="a"/>
    <w:basedOn w:val="Normal"/>
    <w:uiPriority w:val="99"/>
    <w:rsid w:val="00BF34B2"/>
    <w:pPr>
      <w:spacing w:before="100" w:beforeAutospacing="1" w:after="100" w:afterAutospacing="1"/>
    </w:pPr>
    <w:rPr>
      <w:rFonts w:ascii="新細明體" w:hAnsi="新細明體" w:cs="新細明體"/>
      <w:kern w:val="0"/>
    </w:rPr>
  </w:style>
  <w:style w:type="paragraph" w:customStyle="1" w:styleId="a5">
    <w:name w:val="一"/>
    <w:basedOn w:val="Normal"/>
    <w:uiPriority w:val="99"/>
    <w:rsid w:val="00BF34B2"/>
    <w:pPr>
      <w:widowControl w:val="0"/>
      <w:tabs>
        <w:tab w:val="left" w:pos="8160"/>
      </w:tabs>
      <w:spacing w:before="120" w:line="240" w:lineRule="atLeast"/>
      <w:ind w:left="573" w:hanging="573"/>
      <w:jc w:val="both"/>
    </w:pPr>
    <w:rPr>
      <w:rFonts w:ascii="標楷體" w:eastAsia="標楷體" w:hAnsi="Courier New" w:cs="標楷體"/>
    </w:rPr>
  </w:style>
  <w:style w:type="paragraph" w:customStyle="1" w:styleId="a6">
    <w:name w:val="(一)"/>
    <w:basedOn w:val="PlainText"/>
    <w:uiPriority w:val="99"/>
    <w:rsid w:val="00BF34B2"/>
    <w:pPr>
      <w:ind w:left="1176" w:hanging="588"/>
      <w:jc w:val="both"/>
    </w:pPr>
    <w:rPr>
      <w:rFonts w:ascii="標楷體" w:eastAsia="標楷體" w:cs="標楷體"/>
    </w:rPr>
  </w:style>
  <w:style w:type="paragraph" w:customStyle="1" w:styleId="a7">
    <w:name w:val="發文日期"/>
    <w:basedOn w:val="Normal"/>
    <w:uiPriority w:val="99"/>
    <w:rsid w:val="00BF34B2"/>
    <w:pPr>
      <w:widowControl w:val="0"/>
      <w:adjustRightInd w:val="0"/>
      <w:snapToGrid w:val="0"/>
      <w:spacing w:beforeLines="60" w:line="300" w:lineRule="exact"/>
    </w:pPr>
    <w:rPr>
      <w:rFonts w:ascii="標楷體" w:eastAsia="標楷體" w:hAnsi="標楷體" w:cs="標楷體"/>
    </w:rPr>
  </w:style>
  <w:style w:type="paragraph" w:customStyle="1" w:styleId="a8">
    <w:name w:val="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10">
    <w:name w:val="字元 字元 字元 字元 字元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12">
    <w:name w:val="1"/>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9">
    <w:name w:val="字元 字元 字元"/>
    <w:basedOn w:val="Normal"/>
    <w:uiPriority w:val="99"/>
    <w:semiHidden/>
    <w:rsid w:val="00BF34B2"/>
    <w:pPr>
      <w:spacing w:after="160" w:line="240" w:lineRule="exact"/>
    </w:pPr>
    <w:rPr>
      <w:rFonts w:ascii="Tahoma" w:hAnsi="Tahoma" w:cs="Tahoma"/>
      <w:kern w:val="0"/>
      <w:sz w:val="20"/>
      <w:szCs w:val="20"/>
      <w:lang w:eastAsia="en-US"/>
    </w:rPr>
  </w:style>
  <w:style w:type="character" w:customStyle="1" w:styleId="highlight">
    <w:name w:val="highlight"/>
    <w:uiPriority w:val="99"/>
    <w:rsid w:val="00BF34B2"/>
  </w:style>
  <w:style w:type="paragraph" w:customStyle="1" w:styleId="2">
    <w:name w:val="字元 字元2"/>
    <w:basedOn w:val="Normal"/>
    <w:uiPriority w:val="99"/>
    <w:rsid w:val="00BF34B2"/>
    <w:pPr>
      <w:spacing w:after="160" w:line="240" w:lineRule="exact"/>
    </w:pPr>
    <w:rPr>
      <w:rFonts w:ascii="Tahoma" w:hAnsi="Tahoma" w:cs="Tahoma"/>
      <w:kern w:val="0"/>
      <w:sz w:val="20"/>
      <w:szCs w:val="20"/>
      <w:lang w:eastAsia="en-US"/>
    </w:rPr>
  </w:style>
  <w:style w:type="paragraph" w:styleId="BodyText">
    <w:name w:val="Body Text"/>
    <w:basedOn w:val="Normal"/>
    <w:link w:val="BodyTextChar"/>
    <w:uiPriority w:val="99"/>
    <w:rsid w:val="00BF34B2"/>
    <w:pPr>
      <w:widowControl w:val="0"/>
      <w:jc w:val="both"/>
    </w:pPr>
    <w:rPr>
      <w:rFonts w:ascii="標楷體" w:eastAsia="標楷體" w:hAnsi="Times New Roman" w:cs="標楷體"/>
      <w:color w:val="000000"/>
    </w:rPr>
  </w:style>
  <w:style w:type="character" w:customStyle="1" w:styleId="BodyTextChar">
    <w:name w:val="Body Text Char"/>
    <w:basedOn w:val="DefaultParagraphFont"/>
    <w:link w:val="BodyText"/>
    <w:uiPriority w:val="99"/>
    <w:locked/>
    <w:rsid w:val="00BF34B2"/>
    <w:rPr>
      <w:rFonts w:ascii="標楷體" w:eastAsia="標楷體" w:hAnsi="Times New Roman" w:cs="標楷體"/>
      <w:color w:val="000000"/>
      <w:kern w:val="2"/>
      <w:sz w:val="24"/>
      <w:szCs w:val="24"/>
    </w:rPr>
  </w:style>
  <w:style w:type="paragraph" w:customStyle="1" w:styleId="aa">
    <w:name w:val="說明"/>
    <w:basedOn w:val="Normal"/>
    <w:uiPriority w:val="99"/>
    <w:rsid w:val="00BF34B2"/>
    <w:pPr>
      <w:widowControl w:val="0"/>
      <w:spacing w:line="640" w:lineRule="exact"/>
      <w:ind w:left="952" w:hanging="952"/>
    </w:pPr>
    <w:rPr>
      <w:rFonts w:ascii="Arial" w:eastAsia="標楷體" w:hAnsi="Arial" w:cs="Arial"/>
      <w:sz w:val="32"/>
      <w:szCs w:val="32"/>
    </w:rPr>
  </w:style>
  <w:style w:type="paragraph" w:customStyle="1" w:styleId="ab">
    <w:name w:val="字元 字元 字元 字元 字元 字元 字元 字元 字元 字元 字元 字元 字元 字元 字元 字元 字元 字元 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ac">
    <w:name w:val="全銜"/>
    <w:basedOn w:val="Normal"/>
    <w:uiPriority w:val="99"/>
    <w:rsid w:val="00BF34B2"/>
    <w:pPr>
      <w:snapToGrid w:val="0"/>
      <w:spacing w:after="120" w:line="460" w:lineRule="exact"/>
      <w:jc w:val="both"/>
    </w:pPr>
    <w:rPr>
      <w:rFonts w:ascii="Times New Roman" w:eastAsia="標楷體" w:hAnsi="Times New Roman" w:cs="Times New Roman"/>
      <w:b/>
      <w:bCs/>
      <w:kern w:val="0"/>
      <w:sz w:val="40"/>
      <w:szCs w:val="40"/>
    </w:rPr>
  </w:style>
  <w:style w:type="paragraph" w:customStyle="1" w:styleId="ad">
    <w:name w:val="擬辦"/>
    <w:basedOn w:val="Normal"/>
    <w:uiPriority w:val="99"/>
    <w:rsid w:val="00BF34B2"/>
    <w:pPr>
      <w:widowControl w:val="0"/>
      <w:spacing w:line="500" w:lineRule="exact"/>
    </w:pPr>
    <w:rPr>
      <w:rFonts w:ascii="Arial" w:eastAsia="標楷體" w:hAnsi="Arial" w:cs="Arial"/>
      <w:sz w:val="32"/>
      <w:szCs w:val="32"/>
    </w:rPr>
  </w:style>
  <w:style w:type="paragraph" w:customStyle="1" w:styleId="ae">
    <w:name w:val="字元 字元 字元 字元 字元 字元 字元 字元 字元 字元"/>
    <w:basedOn w:val="Normal"/>
    <w:uiPriority w:val="99"/>
    <w:semiHidden/>
    <w:rsid w:val="00BF34B2"/>
    <w:pPr>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20">
    <w:name w:val="字元 字元2 字元 字元 字元 字元 字元 字元 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13">
    <w:name w:val="字元 字元1 字元 字元 字元 字元 字元 字元 字元 字元 字元"/>
    <w:basedOn w:val="Normal"/>
    <w:uiPriority w:val="99"/>
    <w:rsid w:val="00BF34B2"/>
    <w:pPr>
      <w:spacing w:after="160" w:line="240" w:lineRule="exact"/>
    </w:pPr>
    <w:rPr>
      <w:rFonts w:ascii="Tahoma" w:hAnsi="Tahoma" w:cs="Tahoma"/>
      <w:kern w:val="0"/>
      <w:sz w:val="20"/>
      <w:szCs w:val="20"/>
      <w:lang w:eastAsia="en-US"/>
    </w:rPr>
  </w:style>
  <w:style w:type="paragraph" w:customStyle="1" w:styleId="af0">
    <w:name w:val="一般項目符號"/>
    <w:basedOn w:val="Normal"/>
    <w:next w:val="Normal"/>
    <w:uiPriority w:val="99"/>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1"/>
    </w:rPr>
  </w:style>
  <w:style w:type="paragraph" w:customStyle="1" w:styleId="14">
    <w:name w:val="字元 字元1 字元"/>
    <w:basedOn w:val="Normal"/>
    <w:uiPriority w:val="99"/>
    <w:rsid w:val="00BF34B2"/>
    <w:pPr>
      <w:spacing w:after="160" w:line="240" w:lineRule="exact"/>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D6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807</Words>
  <Characters>4603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公務人員退休法施行細則部分條文修正條文</dc:title>
  <dc:subject/>
  <dc:creator>李佳珍</dc:creator>
  <cp:keywords/>
  <dc:description/>
  <cp:lastModifiedBy>Administrator</cp:lastModifiedBy>
  <cp:revision>2</cp:revision>
  <cp:lastPrinted>2016-04-01T07:46:00Z</cp:lastPrinted>
  <dcterms:created xsi:type="dcterms:W3CDTF">2016-05-25T03:30:00Z</dcterms:created>
  <dcterms:modified xsi:type="dcterms:W3CDTF">2016-05-25T03:30:00Z</dcterms:modified>
</cp:coreProperties>
</file>